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  <w:rPr>
          <w:rFonts w:ascii="Arial" w:hAnsi="Arial" w:cs="Arial"/>
        </w:rPr>
      </w:pPr>
    </w:p>
    <w:p>
      <w:pPr>
        <w:adjustRightInd w:val="0"/>
        <w:snapToGrid w:val="0"/>
        <w:jc w:val="center"/>
        <w:rPr>
          <w:rFonts w:ascii="宋体" w:hAnsi="宋体" w:cs="宋体"/>
          <w:b/>
          <w:bCs/>
          <w:sz w:val="28"/>
          <w:szCs w:val="28"/>
        </w:rPr>
      </w:pPr>
      <w:r>
        <w:rPr>
          <w:rFonts w:hint="eastAsia" w:ascii="黑体" w:hAnsi="黑体" w:eastAsia="黑体"/>
          <w:b/>
          <w:bCs/>
          <w:sz w:val="28"/>
          <w:szCs w:val="28"/>
        </w:rPr>
        <w:t>2019</w:t>
      </w:r>
      <w:r>
        <w:rPr>
          <w:rFonts w:hint="eastAsia" w:ascii="宋体" w:hAnsi="宋体" w:cs="宋体"/>
          <w:b/>
          <w:bCs/>
          <w:sz w:val="28"/>
          <w:szCs w:val="28"/>
        </w:rPr>
        <w:t>年安徽大学历史系申请审核制博士研究生选拔</w:t>
      </w:r>
    </w:p>
    <w:p>
      <w:pPr>
        <w:adjustRightInd w:val="0"/>
        <w:snapToGrid w:val="0"/>
        <w:jc w:val="center"/>
        <w:rPr>
          <w:rFonts w:ascii="黑体" w:hAnsi="黑体" w:eastAsia="黑体"/>
          <w:b/>
          <w:bCs/>
          <w:sz w:val="28"/>
          <w:szCs w:val="28"/>
        </w:rPr>
      </w:pPr>
      <w:r>
        <w:rPr>
          <w:rFonts w:hint="eastAsia" w:ascii="Arial" w:hAnsi="Arial" w:cs="Arial"/>
          <w:b/>
          <w:sz w:val="28"/>
          <w:szCs w:val="28"/>
        </w:rPr>
        <w:t>学术科研成绩计分细则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根据2017年公布的《安徽大学人文社会科学类学术成果和科研项目分类评价认定标准》（校政〔2017〕30号，以下简称《人文社科学术成果标准》）和2018年《安徽大学历史系研究生学业奖学金评选实施细则》（2018 年 9 月 26 日研究生奖学金评审委员会讨论并通过）制定。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/>
          <w:bCs w:val="0"/>
          <w:sz w:val="24"/>
          <w:szCs w:val="24"/>
        </w:rPr>
      </w:pPr>
      <w:r>
        <w:rPr>
          <w:rFonts w:hint="eastAsia" w:ascii="Arial" w:hAnsi="Arial" w:cs="Arial"/>
          <w:b/>
          <w:bCs w:val="0"/>
          <w:sz w:val="24"/>
          <w:szCs w:val="24"/>
        </w:rPr>
        <w:t>一、学术论文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.在《中国社会科学》、《历史研究》两大期刊发表学术论文且为单独作者；以及SSCI(一区、二区)收录学术刊物发表学术论文，且为第一作者；原则上可以直接录取，由考核选拔领导小组召开专门会议讨论该申请人的录取问题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2.除第一条规定的刊物外，在《人文社科学术成果标准》确定的 “二类” 学术刊物以及《考古》、《中国史研究》、《世界历史》、《近代史研究》、《当代中国史研究》、《文物》、《中共党史研究》、《文献》、《史学理论研究》发表历史学类相关学术论文，且为单独作者，学术科研成绩按满分计算；非单独作者的，该论文分值为满分，按照附件确定的比例计算不同作者得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3.除上述两条规定的刊物外，在《人文社科学术成果标准》确定的 “三类” 学术刊物发表历史学类相关学术论文，该论文计100分。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4.在《人文社科学术成果标准》确定的“四类”学术刊物发表历史学类相关学术论文，该论文计40分。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5.在 CSSCI 扩展版发表历史学类相关学术论文，该论文计 20 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6.在国家“211”工程建设及以上高校学报，该论文计15分。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7.除上述规定外，在普通本科学校学报上发表历史学类相关学术论文且字数不少于 6000 字，计 10 分，2500-6000 字计 5 分，2500 字以下不算分。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8.除上述规定外，在《人文社科学术成果标准》确定的“五类”学术刊物发表历史学类相关学术论文；或收入公开出版论文集的论文；字数在2500字以上的，计5分。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9.发表在上述刊物报纸上的历史学类专业学术论文的字数必须达到 2500 字以上。发表在国家级报纸（《人民日报》、《光明日报》理论版或学术版）上的学术文章，2500 字以下计 20 分。发表在省部级及专业学术报纸（如各省省报、《中国社会科学报》和《中国文物报》等专业学术报纸的理论版或学术版）的学术文章，1500 字以上计 10 分，1500 字以下计 5 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10.所有论文的作者人数和位次，按照实际署名人数计算。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11.SCI收录期刊等同于SSCI收录期刊。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12.在上述科研成绩计分中，非第一作者学术论文加分不超过3篇。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/>
          <w:bCs w:val="0"/>
          <w:sz w:val="24"/>
          <w:szCs w:val="24"/>
        </w:rPr>
      </w:pPr>
      <w:r>
        <w:rPr>
          <w:rFonts w:hint="eastAsia" w:ascii="Arial" w:hAnsi="Arial" w:cs="Arial"/>
          <w:b/>
          <w:bCs w:val="0"/>
          <w:sz w:val="24"/>
          <w:szCs w:val="24"/>
        </w:rPr>
        <w:t>二、史学专业出版物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13.以第一作者出版学术专著，以万字为单位，每万字计 2 分算；以第一作者出版教材、翻译的史学专业作品或其他史学专业出版物，每万字计 1 分。按个人实际完成字数计算得分，没有明确说明分工的，按照参加者人数平均分配工作量。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14.参与写作学术专著、教材或其它史学专业出版物或翻译的史学专著，每万字计 1 分。以上三类撰写字数以出版物中相关的文字说明为依据，按个人实际完成字数计算得分，没有明确说明分工的，按照参加者人数平均分配工作量。加满 10 分止。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/>
          <w:bCs w:val="0"/>
          <w:sz w:val="24"/>
          <w:szCs w:val="24"/>
        </w:rPr>
        <w:t>三、学术项目（只计算申请人主持的竞争性科研项目）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1.获得国家级研究生科研创新资助项目的负责人计 100分。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2.获得省级研究生科研创新资助项目的负责人计 30分。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/>
          <w:bCs w:val="0"/>
          <w:sz w:val="24"/>
          <w:szCs w:val="24"/>
        </w:rPr>
      </w:pPr>
      <w:r>
        <w:rPr>
          <w:rFonts w:hint="eastAsia" w:ascii="Arial" w:hAnsi="Arial" w:cs="Arial"/>
          <w:b/>
          <w:bCs w:val="0"/>
          <w:sz w:val="24"/>
          <w:szCs w:val="24"/>
        </w:rPr>
        <w:t>四、学术科研成绩计分转换规则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1.所有申请人按照上述三项标准计算原始得分并排序，并确定最高原始得分等同于100， 例如所有申请人中的最高原始得分为80分，则此80分就等同于100；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2.其他申请人原始得分与最高原始得分进行比较，确定折合比例，例如申请人小明原始得分40分，40  80=0.5, 则小明的折合比例为50%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3.申请人的折合比例乘以100，则得出该申请人的百分制分数。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例如小明的折合比例为50%，则50% x 100 =50，小明的学术科研成绩得分为50分。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4.申请人学术科研成绩得分=（申请人原始得分  所有申请人最高原始得分） x 100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hint="eastAsia" w:ascii="Arial" w:hAnsi="Arial" w:cs="Arial"/>
          <w:b w:val="0"/>
          <w:bCs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例如：小明的原始得分折合为百分制分数的过程为（40分 80分）x100 =50分</w:t>
      </w:r>
    </w:p>
    <w:p>
      <w:pPr>
        <w:pStyle w:val="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ind w:firstLine="420"/>
        <w:textAlignment w:val="auto"/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 w:val="0"/>
          <w:bCs/>
          <w:sz w:val="24"/>
          <w:szCs w:val="24"/>
        </w:rPr>
        <w:t>5.所有计算数值，精确到小数点后2位数，按四舍五入原则计算。</w:t>
      </w:r>
    </w:p>
    <w:p>
      <w:pPr>
        <w:pStyle w:val="5"/>
        <w:spacing w:line="360" w:lineRule="auto"/>
        <w:ind w:left="600"/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附件：两人以上共同完成科研成果计分分配比例</w:t>
      </w:r>
    </w:p>
    <w:p>
      <w:pPr>
        <w:pStyle w:val="5"/>
        <w:rPr>
          <w:rFonts w:ascii="Arial" w:hAnsi="Arial" w:cs="Arial"/>
          <w:sz w:val="24"/>
          <w:szCs w:val="24"/>
        </w:rPr>
      </w:pPr>
      <w:r>
        <w:rPr>
          <w:sz w:val="24"/>
          <w:szCs w:val="24"/>
        </w:rPr>
        <w:drawing>
          <wp:inline distT="0" distB="0" distL="0" distR="0">
            <wp:extent cx="5274310" cy="2378710"/>
            <wp:effectExtent l="0" t="0" r="2540" b="254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789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5"/>
        <w:jc w:val="center"/>
        <w:rPr>
          <w:rFonts w:ascii="Arial" w:hAnsi="Arial" w:cs="Arial"/>
          <w:b/>
          <w:sz w:val="24"/>
          <w:szCs w:val="24"/>
        </w:rPr>
      </w:pPr>
      <w:r>
        <w:rPr>
          <w:rFonts w:hint="eastAsia" w:ascii="Arial" w:hAnsi="Arial" w:cs="Arial"/>
          <w:b/>
          <w:sz w:val="24"/>
          <w:szCs w:val="24"/>
        </w:rPr>
        <w:t>考生学术科研成绩计分表（示例）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89"/>
        <w:gridCol w:w="1206"/>
        <w:gridCol w:w="1559"/>
        <w:gridCol w:w="14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428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考生姓名</w:t>
            </w:r>
          </w:p>
        </w:tc>
        <w:tc>
          <w:tcPr>
            <w:tcW w:w="4233" w:type="dxa"/>
            <w:gridSpan w:val="3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学术成果名称</w:t>
            </w:r>
          </w:p>
        </w:tc>
        <w:tc>
          <w:tcPr>
            <w:tcW w:w="1206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级别</w:t>
            </w:r>
          </w:p>
        </w:tc>
        <w:tc>
          <w:tcPr>
            <w:tcW w:w="1559" w:type="dxa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作者次序</w:t>
            </w:r>
          </w:p>
        </w:tc>
        <w:tc>
          <w:tcPr>
            <w:tcW w:w="1468" w:type="dxa"/>
            <w:vAlign w:val="center"/>
          </w:tcPr>
          <w:p>
            <w:pPr>
              <w:pStyle w:val="5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3. 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40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4.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5.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 xml:space="preserve">6. 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7.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8.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hint="eastAsia" w:ascii="Arial" w:hAnsi="Arial" w:cs="Arial"/>
                <w:sz w:val="24"/>
                <w:szCs w:val="24"/>
              </w:rPr>
              <w:t>9.</w:t>
            </w:r>
          </w:p>
        </w:tc>
        <w:tc>
          <w:tcPr>
            <w:tcW w:w="1206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68" w:type="dxa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原始总分</w:t>
            </w:r>
          </w:p>
        </w:tc>
        <w:tc>
          <w:tcPr>
            <w:tcW w:w="4233" w:type="dxa"/>
            <w:gridSpan w:val="3"/>
          </w:tcPr>
          <w:p>
            <w:pPr>
              <w:pStyle w:val="5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hint="eastAsia" w:ascii="Arial" w:hAnsi="Arial" w:cs="Arial"/>
                <w:sz w:val="24"/>
                <w:szCs w:val="24"/>
              </w:rPr>
              <w:t>70分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折合比率：假设所有申请人中最高原始得分为140分</w:t>
            </w:r>
          </w:p>
        </w:tc>
        <w:tc>
          <w:tcPr>
            <w:tcW w:w="4233" w:type="dxa"/>
            <w:gridSpan w:val="3"/>
          </w:tcPr>
          <w:p>
            <w:pPr>
              <w:pStyle w:val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 70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  <w:szCs w:val="24"/>
              </w:rPr>
              <w:sym w:font="Symbol" w:char="F0B8"/>
            </w:r>
            <w:r>
              <w:rPr>
                <w:rFonts w:hint="eastAsia" w:ascii="Arial" w:hAnsi="Arial" w:cs="Arial"/>
                <w:b/>
                <w:sz w:val="24"/>
                <w:szCs w:val="24"/>
              </w:rPr>
              <w:t>140=0.5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</w:trPr>
        <w:tc>
          <w:tcPr>
            <w:tcW w:w="4289" w:type="dxa"/>
          </w:tcPr>
          <w:p>
            <w:pPr>
              <w:pStyle w:val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>折合分（100分制）</w:t>
            </w:r>
          </w:p>
        </w:tc>
        <w:tc>
          <w:tcPr>
            <w:tcW w:w="4233" w:type="dxa"/>
            <w:gridSpan w:val="3"/>
          </w:tcPr>
          <w:p>
            <w:pPr>
              <w:pStyle w:val="5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hint="eastAsia" w:ascii="Arial" w:hAnsi="Arial" w:cs="Arial"/>
                <w:b/>
                <w:sz w:val="24"/>
                <w:szCs w:val="24"/>
              </w:rPr>
              <w:t xml:space="preserve"> 100 x 0.5 = 50分 </w:t>
            </w:r>
          </w:p>
        </w:tc>
      </w:tr>
    </w:tbl>
    <w:p>
      <w:pPr>
        <w:pStyle w:val="5"/>
        <w:spacing w:line="360" w:lineRule="auto"/>
        <w:rPr>
          <w:rFonts w:ascii="Arial" w:hAnsi="Arial" w:cs="Arial"/>
          <w:b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id w:val="1577477265"/>
                            <w:docPartObj>
                              <w:docPartGallery w:val="autotext"/>
                            </w:docPartObj>
                          </w:sdtPr>
                          <w:sdtContent>
                            <w:p>
                              <w:pPr>
                                <w:pStyle w:val="3"/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PAGE   \* MERGEFORMAT</w:instrText>
                              </w:r>
                              <w:r>
                                <w:fldChar w:fldCharType="separate"/>
                              </w:r>
                              <w:r>
                                <w:rPr>
                                  <w:lang w:val="zh-CN"/>
                                </w:rPr>
                                <w:t>3</w:t>
                              </w:r>
                              <w:r>
                                <w:fldChar w:fldCharType="end"/>
                              </w:r>
                            </w:p>
                          </w:sdtContent>
                        </w:sdt>
                        <w:p/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sdt>
                    <w:sdtPr>
                      <w:id w:val="1577477265"/>
                      <w:docPartObj>
                        <w:docPartGallery w:val="autotext"/>
                      </w:docPartObj>
                    </w:sdtPr>
                    <w:sdtContent>
                      <w:p>
                        <w:pPr>
                          <w:pStyle w:val="3"/>
                          <w:jc w:val="right"/>
                        </w:pPr>
                        <w:r>
                          <w:fldChar w:fldCharType="begin"/>
                        </w:r>
                        <w:r>
                          <w:instrText xml:space="preserve">PAGE   \* MERGEFORMAT</w:instrText>
                        </w:r>
                        <w:r>
                          <w:fldChar w:fldCharType="separate"/>
                        </w:r>
                        <w:r>
                          <w:rPr>
                            <w:lang w:val="zh-CN"/>
                          </w:rPr>
                          <w:t>3</w:t>
                        </w:r>
                        <w:r>
                          <w:fldChar w:fldCharType="end"/>
                        </w:r>
                      </w:p>
                    </w:sdtContent>
                  </w:sdt>
                  <w:p/>
                </w:txbxContent>
              </v:textbox>
            </v:shape>
          </w:pict>
        </mc:Fallback>
      </mc:AlternateConten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6C35"/>
    <w:rsid w:val="000313F8"/>
    <w:rsid w:val="000F03DF"/>
    <w:rsid w:val="001E1D69"/>
    <w:rsid w:val="00297EFB"/>
    <w:rsid w:val="00330F4F"/>
    <w:rsid w:val="003C6C35"/>
    <w:rsid w:val="004F7E23"/>
    <w:rsid w:val="00506B21"/>
    <w:rsid w:val="005072D8"/>
    <w:rsid w:val="00520412"/>
    <w:rsid w:val="00540AAD"/>
    <w:rsid w:val="00575339"/>
    <w:rsid w:val="005A5D68"/>
    <w:rsid w:val="005F75BA"/>
    <w:rsid w:val="006956EB"/>
    <w:rsid w:val="006B181F"/>
    <w:rsid w:val="007503A3"/>
    <w:rsid w:val="007B7DAD"/>
    <w:rsid w:val="007E2EF0"/>
    <w:rsid w:val="008840FF"/>
    <w:rsid w:val="00894290"/>
    <w:rsid w:val="008B1B3D"/>
    <w:rsid w:val="008F6400"/>
    <w:rsid w:val="009861AF"/>
    <w:rsid w:val="009A00D7"/>
    <w:rsid w:val="00A40E76"/>
    <w:rsid w:val="00A9407D"/>
    <w:rsid w:val="00AE4A9B"/>
    <w:rsid w:val="00B622CF"/>
    <w:rsid w:val="00BA55EA"/>
    <w:rsid w:val="00C74A2B"/>
    <w:rsid w:val="00CA75EE"/>
    <w:rsid w:val="00DC3221"/>
    <w:rsid w:val="00E063E1"/>
    <w:rsid w:val="00E54346"/>
    <w:rsid w:val="00EA03FF"/>
    <w:rsid w:val="00EA2346"/>
    <w:rsid w:val="00EC188E"/>
    <w:rsid w:val="00EC2FA9"/>
    <w:rsid w:val="00EF78D1"/>
    <w:rsid w:val="00FA154C"/>
    <w:rsid w:val="00FF0EDC"/>
    <w:rsid w:val="3E0E34B9"/>
    <w:rsid w:val="40F45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7">
    <w:name w:val="Table Grid"/>
    <w:basedOn w:val="6"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2"/>
    <w:semiHidden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页眉 Char"/>
    <w:basedOn w:val="8"/>
    <w:link w:val="4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1">
    <w:name w:val="页脚 Char"/>
    <w:basedOn w:val="8"/>
    <w:link w:val="3"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284</Words>
  <Characters>1622</Characters>
  <Lines>13</Lines>
  <Paragraphs>3</Paragraphs>
  <TotalTime>0</TotalTime>
  <ScaleCrop>false</ScaleCrop>
  <LinksUpToDate>false</LinksUpToDate>
  <CharactersWithSpaces>1903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2018-12-25T11:57:00Z</dcterms:created>
  <dc:creator>xb21cn</dc:creator>
  <cp:lastModifiedBy>Administrator</cp:lastModifiedBy>
  <cp:lastPrinted>2018-12-28T04:44:00Z</cp:lastPrinted>
  <dcterms:modified xsi:type="dcterms:W3CDTF">2019-05-16T08:40:29Z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